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CB" w:rsidRDefault="002053B1" w:rsidP="002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</w:t>
      </w:r>
    </w:p>
    <w:p w:rsidR="00C658CB" w:rsidRPr="00C658CB" w:rsidRDefault="00C658CB" w:rsidP="00205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                                                                                       </w:t>
      </w:r>
      <w:r w:rsidRPr="00C658C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Išrašas </w:t>
      </w:r>
    </w:p>
    <w:p w:rsidR="00C658CB" w:rsidRDefault="00C658CB" w:rsidP="002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053B1" w:rsidRPr="002053B1" w:rsidRDefault="002053B1" w:rsidP="002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C658C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2053B1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Klaipėdos miesto savivaldybės</w:t>
      </w:r>
    </w:p>
    <w:p w:rsidR="002053B1" w:rsidRPr="002053B1" w:rsidRDefault="002053B1" w:rsidP="002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</w:t>
      </w:r>
      <w:r w:rsidRPr="002053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tarybos 2016 </w:t>
      </w:r>
      <w:proofErr w:type="spellStart"/>
      <w:r w:rsidRPr="002053B1"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proofErr w:type="spellEnd"/>
      <w:r w:rsidRPr="002053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gruodžio 22 </w:t>
      </w:r>
      <w:proofErr w:type="spellStart"/>
      <w:r w:rsidRPr="002053B1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proofErr w:type="spellEnd"/>
      <w:r w:rsidRPr="002053B1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</w:p>
    <w:p w:rsidR="002053B1" w:rsidRPr="002053B1" w:rsidRDefault="002053B1" w:rsidP="002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</w:t>
      </w:r>
      <w:r w:rsidRPr="002053B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sprendimo </w:t>
      </w:r>
      <w:proofErr w:type="spellStart"/>
      <w:r w:rsidRPr="002053B1">
        <w:rPr>
          <w:rFonts w:ascii="Times New Roman" w:eastAsia="Times New Roman" w:hAnsi="Times New Roman" w:cs="Times New Roman"/>
          <w:sz w:val="24"/>
          <w:szCs w:val="24"/>
          <w:lang w:eastAsia="lt-LT"/>
        </w:rPr>
        <w:t>Nr</w:t>
      </w:r>
      <w:proofErr w:type="spellEnd"/>
      <w:r w:rsidRPr="002053B1">
        <w:rPr>
          <w:rFonts w:ascii="Times New Roman" w:eastAsia="Times New Roman" w:hAnsi="Times New Roman" w:cs="Times New Roman"/>
          <w:sz w:val="24"/>
          <w:szCs w:val="24"/>
          <w:lang w:eastAsia="lt-LT"/>
        </w:rPr>
        <w:t>. T2-297</w:t>
      </w:r>
    </w:p>
    <w:p w:rsidR="002053B1" w:rsidRPr="002053B1" w:rsidRDefault="002053B1" w:rsidP="002053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p</w:t>
      </w:r>
      <w:r w:rsidRPr="002053B1">
        <w:rPr>
          <w:rFonts w:ascii="Times New Roman" w:eastAsia="Times New Roman" w:hAnsi="Times New Roman" w:cs="Times New Roman"/>
          <w:sz w:val="24"/>
          <w:szCs w:val="24"/>
          <w:lang w:eastAsia="lt-LT"/>
        </w:rPr>
        <w:t>riedas</w:t>
      </w:r>
    </w:p>
    <w:p w:rsidR="002053B1" w:rsidRDefault="002053B1" w:rsidP="002053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</w:p>
    <w:p w:rsidR="002053B1" w:rsidRPr="002053B1" w:rsidRDefault="002053B1" w:rsidP="002053B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lt-LT"/>
        </w:rPr>
      </w:pPr>
    </w:p>
    <w:p w:rsidR="002053B1" w:rsidRPr="002053B1" w:rsidRDefault="002053B1" w:rsidP="002053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053B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KLAIPĖDOS MIESTO SAVIVALDYBĖS BENDROJO UGDYMO MOKYKLŲ APTARNAVIMO TERITORIJOS</w:t>
      </w:r>
    </w:p>
    <w:p w:rsidR="002053B1" w:rsidRPr="002053B1" w:rsidRDefault="002053B1" w:rsidP="0020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053B1" w:rsidRPr="002053B1" w:rsidRDefault="002053B1" w:rsidP="0020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2268"/>
        <w:gridCol w:w="5103"/>
      </w:tblGrid>
      <w:tr w:rsidR="002053B1" w:rsidRPr="002053B1" w:rsidTr="002053B1">
        <w:tc>
          <w:tcPr>
            <w:tcW w:w="2269" w:type="dxa"/>
          </w:tcPr>
          <w:p w:rsidR="002053B1" w:rsidRPr="002053B1" w:rsidRDefault="002053B1" w:rsidP="00205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53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Bendrojo ugdymo mokyklos</w:t>
            </w:r>
          </w:p>
          <w:p w:rsidR="002053B1" w:rsidRPr="002053B1" w:rsidRDefault="002053B1" w:rsidP="00205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53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pavadinimas (adresas)</w:t>
            </w:r>
          </w:p>
        </w:tc>
        <w:tc>
          <w:tcPr>
            <w:tcW w:w="2268" w:type="dxa"/>
          </w:tcPr>
          <w:p w:rsidR="002053B1" w:rsidRPr="002053B1" w:rsidRDefault="002053B1" w:rsidP="00205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53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Klasės (jų paskirtis ar vykdoma</w:t>
            </w:r>
          </w:p>
          <w:p w:rsidR="002053B1" w:rsidRPr="002053B1" w:rsidRDefault="002053B1" w:rsidP="00205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53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programa)</w:t>
            </w:r>
          </w:p>
          <w:p w:rsidR="002053B1" w:rsidRPr="002053B1" w:rsidRDefault="002053B1" w:rsidP="00205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103" w:type="dxa"/>
          </w:tcPr>
          <w:p w:rsidR="002053B1" w:rsidRPr="002053B1" w:rsidRDefault="002053B1" w:rsidP="00205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53B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Priskirta aptarnavimo teritorija</w:t>
            </w:r>
          </w:p>
          <w:p w:rsidR="002053B1" w:rsidRPr="002053B1" w:rsidRDefault="002053B1" w:rsidP="002053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658CB" w:rsidRPr="002053B1" w:rsidTr="002053B1">
        <w:tc>
          <w:tcPr>
            <w:tcW w:w="2269" w:type="dxa"/>
            <w:vMerge w:val="restart"/>
          </w:tcPr>
          <w:p w:rsidR="00C658CB" w:rsidRPr="002053B1" w:rsidRDefault="00C658CB" w:rsidP="00205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053B1">
              <w:rPr>
                <w:rFonts w:ascii="Times New Roman" w:hAnsi="Times New Roman" w:cs="Times New Roman"/>
                <w:sz w:val="24"/>
                <w:szCs w:val="24"/>
              </w:rPr>
              <w:t xml:space="preserve">Klaipėdos Gedminų progimnazija (Gedminų </w:t>
            </w:r>
            <w:proofErr w:type="spellStart"/>
            <w:r w:rsidRPr="002053B1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proofErr w:type="spellEnd"/>
            <w:r w:rsidRPr="002053B1">
              <w:rPr>
                <w:rFonts w:ascii="Times New Roman" w:hAnsi="Times New Roman" w:cs="Times New Roman"/>
                <w:sz w:val="24"/>
                <w:szCs w:val="24"/>
              </w:rPr>
              <w:t>. 3)</w:t>
            </w:r>
          </w:p>
        </w:tc>
        <w:tc>
          <w:tcPr>
            <w:tcW w:w="2268" w:type="dxa"/>
          </w:tcPr>
          <w:p w:rsidR="00C658CB" w:rsidRPr="002053B1" w:rsidRDefault="00C658CB" w:rsidP="005A1D53">
            <w:pPr>
              <w:pStyle w:val="Pagrindinistekstas"/>
              <w:tabs>
                <w:tab w:val="left" w:pos="709"/>
              </w:tabs>
              <w:jc w:val="center"/>
              <w:rPr>
                <w:szCs w:val="24"/>
              </w:rPr>
            </w:pPr>
            <w:r w:rsidRPr="002053B1">
              <w:rPr>
                <w:szCs w:val="24"/>
              </w:rPr>
              <w:t>1–4 klasės (bendrosios, kryptingo meninio ugdymo)</w:t>
            </w:r>
          </w:p>
        </w:tc>
        <w:tc>
          <w:tcPr>
            <w:tcW w:w="5103" w:type="dxa"/>
          </w:tcPr>
          <w:p w:rsidR="00C658CB" w:rsidRPr="002053B1" w:rsidRDefault="00C658CB" w:rsidP="005A1D53">
            <w:pPr>
              <w:pStyle w:val="Pagrindinistekstas"/>
              <w:tabs>
                <w:tab w:val="left" w:pos="709"/>
              </w:tabs>
              <w:rPr>
                <w:szCs w:val="24"/>
              </w:rPr>
            </w:pPr>
            <w:r w:rsidRPr="002053B1">
              <w:rPr>
                <w:b/>
                <w:szCs w:val="24"/>
              </w:rPr>
              <w:t>Savivaldybės teritorijos gatvės:</w:t>
            </w:r>
            <w:r w:rsidRPr="002053B1">
              <w:rPr>
                <w:szCs w:val="24"/>
              </w:rPr>
              <w:t xml:space="preserve"> Debreceno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 (nelyginiai), </w:t>
            </w:r>
            <w:r w:rsidRPr="002053B1">
              <w:rPr>
                <w:caps/>
                <w:szCs w:val="24"/>
              </w:rPr>
              <w:t>g</w:t>
            </w:r>
            <w:r w:rsidRPr="002053B1">
              <w:rPr>
                <w:szCs w:val="24"/>
              </w:rPr>
              <w:t xml:space="preserve">edminų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., Naujakiemio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., Statybininkų </w:t>
            </w:r>
            <w:proofErr w:type="spellStart"/>
            <w:r w:rsidRPr="002053B1">
              <w:rPr>
                <w:szCs w:val="24"/>
              </w:rPr>
              <w:t>pr</w:t>
            </w:r>
            <w:proofErr w:type="spellEnd"/>
            <w:r w:rsidRPr="002053B1">
              <w:rPr>
                <w:szCs w:val="24"/>
              </w:rPr>
              <w:t xml:space="preserve">. (lyginiai iki Taikos </w:t>
            </w:r>
            <w:proofErr w:type="spellStart"/>
            <w:r w:rsidRPr="002053B1">
              <w:rPr>
                <w:szCs w:val="24"/>
              </w:rPr>
              <w:t>pr</w:t>
            </w:r>
            <w:proofErr w:type="spellEnd"/>
            <w:r w:rsidRPr="002053B1">
              <w:rPr>
                <w:szCs w:val="24"/>
              </w:rPr>
              <w:t xml:space="preserve">.), Šiaulių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 (nelyginiai nuo </w:t>
            </w:r>
            <w:proofErr w:type="spellStart"/>
            <w:r w:rsidRPr="002053B1">
              <w:rPr>
                <w:szCs w:val="24"/>
              </w:rPr>
              <w:t>Nr</w:t>
            </w:r>
            <w:proofErr w:type="spellEnd"/>
            <w:r w:rsidRPr="002053B1">
              <w:rPr>
                <w:szCs w:val="24"/>
              </w:rPr>
              <w:t xml:space="preserve">. 11), Šilutės </w:t>
            </w:r>
            <w:proofErr w:type="spellStart"/>
            <w:r w:rsidRPr="002053B1">
              <w:rPr>
                <w:szCs w:val="24"/>
              </w:rPr>
              <w:t>pl</w:t>
            </w:r>
            <w:proofErr w:type="spellEnd"/>
            <w:r w:rsidRPr="002053B1">
              <w:rPr>
                <w:szCs w:val="24"/>
              </w:rPr>
              <w:t xml:space="preserve">. (nuo Debreceno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 iki </w:t>
            </w:r>
            <w:proofErr w:type="spellStart"/>
            <w:r w:rsidRPr="002053B1">
              <w:rPr>
                <w:szCs w:val="24"/>
              </w:rPr>
              <w:t>Nr</w:t>
            </w:r>
            <w:proofErr w:type="spellEnd"/>
            <w:r w:rsidRPr="002053B1">
              <w:rPr>
                <w:szCs w:val="24"/>
              </w:rPr>
              <w:t xml:space="preserve">. 60), Taikos </w:t>
            </w:r>
            <w:proofErr w:type="spellStart"/>
            <w:r w:rsidRPr="002053B1">
              <w:rPr>
                <w:szCs w:val="24"/>
              </w:rPr>
              <w:t>pr</w:t>
            </w:r>
            <w:proofErr w:type="spellEnd"/>
            <w:r w:rsidRPr="002053B1">
              <w:rPr>
                <w:szCs w:val="24"/>
              </w:rPr>
              <w:t xml:space="preserve">. (nelyginiai nuo Debreceno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 iki Statybininkų </w:t>
            </w:r>
            <w:proofErr w:type="spellStart"/>
            <w:r w:rsidRPr="002053B1">
              <w:rPr>
                <w:szCs w:val="24"/>
              </w:rPr>
              <w:t>pr</w:t>
            </w:r>
            <w:proofErr w:type="spellEnd"/>
            <w:r w:rsidRPr="002053B1">
              <w:rPr>
                <w:szCs w:val="24"/>
              </w:rPr>
              <w:t>.)</w:t>
            </w:r>
            <w:r w:rsidRPr="002053B1">
              <w:rPr>
                <w:caps/>
                <w:szCs w:val="24"/>
              </w:rPr>
              <w:t xml:space="preserve"> </w:t>
            </w:r>
          </w:p>
        </w:tc>
      </w:tr>
      <w:tr w:rsidR="00C658CB" w:rsidRPr="002053B1" w:rsidTr="002053B1">
        <w:tc>
          <w:tcPr>
            <w:tcW w:w="2269" w:type="dxa"/>
            <w:vMerge/>
          </w:tcPr>
          <w:p w:rsidR="00C658CB" w:rsidRPr="002053B1" w:rsidRDefault="00C658CB" w:rsidP="00205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:rsidR="00C658CB" w:rsidRPr="002053B1" w:rsidRDefault="00C658CB" w:rsidP="005A1D53">
            <w:pPr>
              <w:pStyle w:val="Pagrindinistekstas"/>
              <w:tabs>
                <w:tab w:val="left" w:pos="709"/>
              </w:tabs>
              <w:jc w:val="center"/>
              <w:rPr>
                <w:szCs w:val="24"/>
              </w:rPr>
            </w:pPr>
            <w:r w:rsidRPr="002053B1">
              <w:rPr>
                <w:szCs w:val="24"/>
              </w:rPr>
              <w:t>5–8 klasės (bendrosios, kryptingo meninio ugdymo)</w:t>
            </w:r>
          </w:p>
        </w:tc>
        <w:tc>
          <w:tcPr>
            <w:tcW w:w="5103" w:type="dxa"/>
          </w:tcPr>
          <w:p w:rsidR="00C658CB" w:rsidRPr="002053B1" w:rsidRDefault="00C658CB" w:rsidP="005A1D53">
            <w:pPr>
              <w:pStyle w:val="Pagrindinistekstas"/>
              <w:tabs>
                <w:tab w:val="left" w:pos="709"/>
              </w:tabs>
              <w:rPr>
                <w:szCs w:val="24"/>
              </w:rPr>
            </w:pPr>
            <w:r w:rsidRPr="002053B1">
              <w:rPr>
                <w:b/>
                <w:szCs w:val="24"/>
              </w:rPr>
              <w:t>Savivaldybės teritorijos gatvės:</w:t>
            </w:r>
            <w:r w:rsidRPr="002053B1">
              <w:rPr>
                <w:szCs w:val="24"/>
              </w:rPr>
              <w:t xml:space="preserve"> Darželio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., Debreceno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 (nelyginiai), </w:t>
            </w:r>
            <w:proofErr w:type="spellStart"/>
            <w:r w:rsidRPr="002053B1">
              <w:rPr>
                <w:szCs w:val="24"/>
              </w:rPr>
              <w:t>Deimės</w:t>
            </w:r>
            <w:proofErr w:type="spellEnd"/>
            <w:r w:rsidRPr="002053B1">
              <w:rPr>
                <w:szCs w:val="24"/>
              </w:rPr>
              <w:t xml:space="preserve">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., </w:t>
            </w:r>
            <w:r w:rsidRPr="002053B1">
              <w:rPr>
                <w:caps/>
                <w:szCs w:val="24"/>
              </w:rPr>
              <w:t>g</w:t>
            </w:r>
            <w:r w:rsidRPr="002053B1">
              <w:rPr>
                <w:szCs w:val="24"/>
              </w:rPr>
              <w:t xml:space="preserve">edminų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., Gilijos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., Giraitės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., Jūreivių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., </w:t>
            </w:r>
            <w:proofErr w:type="spellStart"/>
            <w:r w:rsidRPr="002053B1">
              <w:rPr>
                <w:szCs w:val="24"/>
              </w:rPr>
              <w:t>Kalnupės</w:t>
            </w:r>
            <w:proofErr w:type="spellEnd"/>
            <w:r w:rsidRPr="002053B1">
              <w:rPr>
                <w:szCs w:val="24"/>
              </w:rPr>
              <w:t xml:space="preserve">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., </w:t>
            </w:r>
            <w:proofErr w:type="spellStart"/>
            <w:r w:rsidRPr="002053B1">
              <w:rPr>
                <w:szCs w:val="24"/>
              </w:rPr>
              <w:t>Medvėgalio</w:t>
            </w:r>
            <w:proofErr w:type="spellEnd"/>
            <w:r w:rsidRPr="002053B1">
              <w:rPr>
                <w:szCs w:val="24"/>
              </w:rPr>
              <w:t xml:space="preserve">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., Minijos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 (nuo </w:t>
            </w:r>
            <w:proofErr w:type="spellStart"/>
            <w:r w:rsidRPr="002053B1">
              <w:rPr>
                <w:szCs w:val="24"/>
              </w:rPr>
              <w:t>Naikupės</w:t>
            </w:r>
            <w:proofErr w:type="spellEnd"/>
            <w:r w:rsidRPr="002053B1">
              <w:rPr>
                <w:szCs w:val="24"/>
              </w:rPr>
              <w:t xml:space="preserve">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 iki Statybininkų </w:t>
            </w:r>
            <w:proofErr w:type="spellStart"/>
            <w:r w:rsidRPr="002053B1">
              <w:rPr>
                <w:szCs w:val="24"/>
              </w:rPr>
              <w:t>pr</w:t>
            </w:r>
            <w:proofErr w:type="spellEnd"/>
            <w:r w:rsidRPr="002053B1">
              <w:rPr>
                <w:szCs w:val="24"/>
              </w:rPr>
              <w:t xml:space="preserve">.), Naglio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., </w:t>
            </w:r>
            <w:proofErr w:type="spellStart"/>
            <w:r w:rsidRPr="002053B1">
              <w:rPr>
                <w:szCs w:val="24"/>
              </w:rPr>
              <w:t>Naikupės</w:t>
            </w:r>
            <w:proofErr w:type="spellEnd"/>
            <w:r w:rsidRPr="002053B1">
              <w:rPr>
                <w:szCs w:val="24"/>
              </w:rPr>
              <w:t xml:space="preserve">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 (lyginiai), Naujakiemio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., Nidos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 (nuo </w:t>
            </w:r>
            <w:proofErr w:type="spellStart"/>
            <w:r w:rsidRPr="002053B1">
              <w:rPr>
                <w:szCs w:val="24"/>
              </w:rPr>
              <w:t>Naikupės</w:t>
            </w:r>
            <w:proofErr w:type="spellEnd"/>
            <w:r w:rsidRPr="002053B1">
              <w:rPr>
                <w:szCs w:val="24"/>
              </w:rPr>
              <w:t xml:space="preserve">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 iki Gilijos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.), Nemuno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 (nuo </w:t>
            </w:r>
            <w:proofErr w:type="spellStart"/>
            <w:r w:rsidRPr="002053B1">
              <w:rPr>
                <w:szCs w:val="24"/>
              </w:rPr>
              <w:t>Naikupės</w:t>
            </w:r>
            <w:proofErr w:type="spellEnd"/>
            <w:r w:rsidRPr="002053B1">
              <w:rPr>
                <w:szCs w:val="24"/>
              </w:rPr>
              <w:t xml:space="preserve">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 iki Statybininkų </w:t>
            </w:r>
            <w:proofErr w:type="spellStart"/>
            <w:r w:rsidRPr="002053B1">
              <w:rPr>
                <w:szCs w:val="24"/>
              </w:rPr>
              <w:t>pr</w:t>
            </w:r>
            <w:proofErr w:type="spellEnd"/>
            <w:r w:rsidRPr="002053B1">
              <w:rPr>
                <w:szCs w:val="24"/>
              </w:rPr>
              <w:t xml:space="preserve">.), Poilsio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., Priegliaus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., Rambyno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., Raudonės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., Statybininkų </w:t>
            </w:r>
            <w:proofErr w:type="spellStart"/>
            <w:r w:rsidRPr="002053B1">
              <w:rPr>
                <w:szCs w:val="24"/>
              </w:rPr>
              <w:t>pr</w:t>
            </w:r>
            <w:proofErr w:type="spellEnd"/>
            <w:r w:rsidRPr="002053B1">
              <w:rPr>
                <w:szCs w:val="24"/>
              </w:rPr>
              <w:t xml:space="preserve">. (lyginiai), Šatrijos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., Šiaulių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 (nelyginiai nuo </w:t>
            </w:r>
            <w:proofErr w:type="spellStart"/>
            <w:r w:rsidRPr="002053B1">
              <w:rPr>
                <w:szCs w:val="24"/>
              </w:rPr>
              <w:t>Nr</w:t>
            </w:r>
            <w:proofErr w:type="spellEnd"/>
            <w:r w:rsidRPr="002053B1">
              <w:rPr>
                <w:szCs w:val="24"/>
              </w:rPr>
              <w:t xml:space="preserve">. 11), Šilutės </w:t>
            </w:r>
            <w:proofErr w:type="spellStart"/>
            <w:r w:rsidRPr="002053B1">
              <w:rPr>
                <w:szCs w:val="24"/>
              </w:rPr>
              <w:t>pl</w:t>
            </w:r>
            <w:proofErr w:type="spellEnd"/>
            <w:r w:rsidRPr="002053B1">
              <w:rPr>
                <w:szCs w:val="24"/>
              </w:rPr>
              <w:t xml:space="preserve">. (nuo Debreceno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 iki </w:t>
            </w:r>
            <w:proofErr w:type="spellStart"/>
            <w:r w:rsidRPr="002053B1">
              <w:rPr>
                <w:szCs w:val="24"/>
              </w:rPr>
              <w:t>Nr</w:t>
            </w:r>
            <w:proofErr w:type="spellEnd"/>
            <w:r w:rsidRPr="002053B1">
              <w:rPr>
                <w:szCs w:val="24"/>
              </w:rPr>
              <w:t xml:space="preserve">. 60), Šturmanų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., Taikos </w:t>
            </w:r>
            <w:proofErr w:type="spellStart"/>
            <w:r w:rsidRPr="002053B1">
              <w:rPr>
                <w:szCs w:val="24"/>
              </w:rPr>
              <w:t>pr</w:t>
            </w:r>
            <w:proofErr w:type="spellEnd"/>
            <w:r w:rsidRPr="002053B1">
              <w:rPr>
                <w:szCs w:val="24"/>
              </w:rPr>
              <w:t xml:space="preserve">. (nelyginiai nuo Debreceno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 iki Statybininkų </w:t>
            </w:r>
            <w:proofErr w:type="spellStart"/>
            <w:r w:rsidRPr="002053B1">
              <w:rPr>
                <w:szCs w:val="24"/>
              </w:rPr>
              <w:t>pr</w:t>
            </w:r>
            <w:proofErr w:type="spellEnd"/>
            <w:r w:rsidRPr="002053B1">
              <w:rPr>
                <w:szCs w:val="24"/>
              </w:rPr>
              <w:t xml:space="preserve">. ir lyginiai nuo </w:t>
            </w:r>
            <w:proofErr w:type="spellStart"/>
            <w:r w:rsidRPr="002053B1">
              <w:rPr>
                <w:szCs w:val="24"/>
              </w:rPr>
              <w:t>Naikupės</w:t>
            </w:r>
            <w:proofErr w:type="spellEnd"/>
            <w:r w:rsidRPr="002053B1">
              <w:rPr>
                <w:szCs w:val="24"/>
              </w:rPr>
              <w:t xml:space="preserve">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 iki Statybininkų </w:t>
            </w:r>
            <w:proofErr w:type="spellStart"/>
            <w:r w:rsidRPr="002053B1">
              <w:rPr>
                <w:szCs w:val="24"/>
              </w:rPr>
              <w:t>pr</w:t>
            </w:r>
            <w:proofErr w:type="spellEnd"/>
            <w:r w:rsidRPr="002053B1">
              <w:rPr>
                <w:szCs w:val="24"/>
              </w:rPr>
              <w:t>.),</w:t>
            </w:r>
            <w:r w:rsidRPr="002053B1">
              <w:rPr>
                <w:caps/>
                <w:szCs w:val="24"/>
              </w:rPr>
              <w:t xml:space="preserve"> </w:t>
            </w:r>
            <w:r w:rsidRPr="002053B1">
              <w:rPr>
                <w:szCs w:val="24"/>
              </w:rPr>
              <w:t xml:space="preserve">Žalgirio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 (nuo </w:t>
            </w:r>
            <w:proofErr w:type="spellStart"/>
            <w:r w:rsidRPr="002053B1">
              <w:rPr>
                <w:szCs w:val="24"/>
              </w:rPr>
              <w:t>Naikupės</w:t>
            </w:r>
            <w:proofErr w:type="spellEnd"/>
            <w:r w:rsidRPr="002053B1">
              <w:rPr>
                <w:szCs w:val="24"/>
              </w:rPr>
              <w:t xml:space="preserve">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 xml:space="preserve">. iki </w:t>
            </w:r>
            <w:proofErr w:type="spellStart"/>
            <w:r w:rsidRPr="002053B1">
              <w:rPr>
                <w:szCs w:val="24"/>
              </w:rPr>
              <w:t>Kalnupės</w:t>
            </w:r>
            <w:proofErr w:type="spellEnd"/>
            <w:r w:rsidRPr="002053B1">
              <w:rPr>
                <w:szCs w:val="24"/>
              </w:rPr>
              <w:t xml:space="preserve"> </w:t>
            </w:r>
            <w:proofErr w:type="spellStart"/>
            <w:r w:rsidRPr="002053B1">
              <w:rPr>
                <w:szCs w:val="24"/>
              </w:rPr>
              <w:t>g</w:t>
            </w:r>
            <w:proofErr w:type="spellEnd"/>
            <w:r w:rsidRPr="002053B1">
              <w:rPr>
                <w:szCs w:val="24"/>
              </w:rPr>
              <w:t>.)</w:t>
            </w:r>
          </w:p>
        </w:tc>
      </w:tr>
      <w:tr w:rsidR="00C658CB" w:rsidRPr="002053B1" w:rsidTr="002053B1">
        <w:tc>
          <w:tcPr>
            <w:tcW w:w="2269" w:type="dxa"/>
            <w:vMerge/>
          </w:tcPr>
          <w:p w:rsidR="00C658CB" w:rsidRPr="002053B1" w:rsidRDefault="00C658CB" w:rsidP="002053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268" w:type="dxa"/>
          </w:tcPr>
          <w:p w:rsidR="00C658CB" w:rsidRPr="00C658CB" w:rsidRDefault="00C658CB" w:rsidP="005A1D53">
            <w:pPr>
              <w:pStyle w:val="Pagrindinistekstas"/>
              <w:tabs>
                <w:tab w:val="left" w:pos="709"/>
              </w:tabs>
              <w:jc w:val="center"/>
              <w:rPr>
                <w:szCs w:val="24"/>
              </w:rPr>
            </w:pPr>
            <w:proofErr w:type="spellStart"/>
            <w:r w:rsidRPr="00C658CB">
              <w:rPr>
                <w:szCs w:val="24"/>
              </w:rPr>
              <w:t>Valdorfo</w:t>
            </w:r>
            <w:proofErr w:type="spellEnd"/>
            <w:r w:rsidRPr="00C658CB">
              <w:rPr>
                <w:szCs w:val="24"/>
              </w:rPr>
              <w:t xml:space="preserve"> pedagogikos elementų klasės</w:t>
            </w:r>
          </w:p>
        </w:tc>
        <w:tc>
          <w:tcPr>
            <w:tcW w:w="5103" w:type="dxa"/>
          </w:tcPr>
          <w:p w:rsidR="00C658CB" w:rsidRPr="00C658CB" w:rsidRDefault="00C658CB" w:rsidP="005A1D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58CB">
              <w:rPr>
                <w:rFonts w:ascii="Times New Roman" w:hAnsi="Times New Roman" w:cs="Times New Roman"/>
                <w:b/>
                <w:sz w:val="24"/>
                <w:szCs w:val="24"/>
              </w:rPr>
              <w:t>Savivaldybės teritorija</w:t>
            </w:r>
            <w:r w:rsidRPr="00C658CB">
              <w:rPr>
                <w:rFonts w:ascii="Times New Roman" w:hAnsi="Times New Roman" w:cs="Times New Roman"/>
                <w:sz w:val="24"/>
                <w:szCs w:val="24"/>
              </w:rPr>
              <w:t xml:space="preserve"> (priimant asmenis, vykdomas bendrųjų gebėjimų vertinimas)</w:t>
            </w:r>
          </w:p>
        </w:tc>
      </w:tr>
    </w:tbl>
    <w:p w:rsidR="002053B1" w:rsidRPr="002053B1" w:rsidRDefault="002053B1" w:rsidP="0020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053B1" w:rsidRPr="002053B1" w:rsidRDefault="002053B1" w:rsidP="00205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0" w:type="auto"/>
        <w:tblInd w:w="25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090"/>
      </w:tblGrid>
      <w:tr w:rsidR="00C658CB" w:rsidTr="00C658CB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3090" w:type="dxa"/>
          </w:tcPr>
          <w:p w:rsidR="00C658CB" w:rsidRDefault="00C658CB" w:rsidP="00C658CB">
            <w:pPr>
              <w:spacing w:after="0" w:line="240" w:lineRule="auto"/>
              <w:jc w:val="center"/>
            </w:pPr>
          </w:p>
        </w:tc>
      </w:tr>
    </w:tbl>
    <w:p w:rsidR="00636699" w:rsidRDefault="00636699" w:rsidP="00C658CB">
      <w:pPr>
        <w:spacing w:after="0" w:line="240" w:lineRule="auto"/>
        <w:jc w:val="center"/>
      </w:pPr>
    </w:p>
    <w:sectPr w:rsidR="00636699" w:rsidSect="00E4430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3B1"/>
    <w:rsid w:val="002053B1"/>
    <w:rsid w:val="002F4315"/>
    <w:rsid w:val="00636699"/>
    <w:rsid w:val="00C658CB"/>
    <w:rsid w:val="00E44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2053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053B1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205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grindinistekstas">
    <w:name w:val="Body Text"/>
    <w:basedOn w:val="prastasis"/>
    <w:link w:val="PagrindinistekstasDiagrama"/>
    <w:rsid w:val="002053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2053B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9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4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4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6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2017-06-26T07:44:00Z</dcterms:created>
  <dcterms:modified xsi:type="dcterms:W3CDTF">2017-06-26T07:57:00Z</dcterms:modified>
</cp:coreProperties>
</file>